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261D" w14:textId="77777777" w:rsidR="007F4CEC" w:rsidRDefault="007F4CEC" w:rsidP="007F4CEC">
      <w:pPr>
        <w:rPr>
          <w:sz w:val="20"/>
          <w:szCs w:val="20"/>
        </w:rPr>
      </w:pPr>
      <w:r>
        <w:rPr>
          <w:sz w:val="20"/>
          <w:szCs w:val="20"/>
        </w:rPr>
        <w:t>Job Purpose:</w:t>
      </w:r>
    </w:p>
    <w:p w14:paraId="175AE64D" w14:textId="77777777" w:rsidR="007F4CEC" w:rsidRDefault="007F4CEC" w:rsidP="007F4CEC">
      <w:pPr>
        <w:rPr>
          <w:sz w:val="20"/>
          <w:szCs w:val="20"/>
        </w:rPr>
      </w:pPr>
      <w:r>
        <w:rPr>
          <w:sz w:val="20"/>
          <w:szCs w:val="20"/>
        </w:rPr>
        <w:t xml:space="preserve">The purpose of the Database Administrator (DBA) role is to ensure the availability, performance, security, and reliability of enterprise database platforms, with a primary focus on SQL Server, PostgreSQL, and Azure-hosted database services (but not limited to). This role is responsible for the day-to-day operational management of database environments across on-premises and cloud platforms, ensuring databases are secure, resilient, well-performing, and aligned with organizational and cloud governance standards. Our DBAs are accountable for database installation, configuration, performance tuning, security administration, backup and recovery, and high availability/disaster recovery (HA/DR) for both traditional and cloud-based database workloads. This includes supporting Azure SQL Database, Azure SQL Managed Instance, PostgreSQL platforms, and SQL Server deployed on Azure or on-premises infrastructure. The role ensures data integrity, availability, and compliance while supporting application teams and service owners throughout the database lifecycle. </w:t>
      </w:r>
    </w:p>
    <w:p w14:paraId="1541E18E" w14:textId="77777777" w:rsidR="007F4CEC" w:rsidRDefault="007F4CEC" w:rsidP="007F4CEC">
      <w:pPr>
        <w:rPr>
          <w:sz w:val="20"/>
          <w:szCs w:val="20"/>
        </w:rPr>
      </w:pPr>
      <w:r>
        <w:rPr>
          <w:sz w:val="20"/>
          <w:szCs w:val="20"/>
        </w:rPr>
        <w:t>By assisting with database designs, implementing platform standards, monitoring performance, and proactively addressing capacity and reliability risks, the DBA enables the organization to maximize the value of its data assets while maintaining operational stability. The role also contributes to the evolution of database platforms, supporting modernization initiatives such as cloud adoption, platform standardization, automation, and improved observability. Work is performed within established IT Service Management (ITSM) practices, including Incident, Problem, Change, Project, Service, and Capacity Management, to deliver reliable and sustainable database services. The position collaborates with and may provide technical guidance to a mix of Government of Alberta staff, contractors, and external service providers, ensuring consistent operational practices and adherence to platform standards.</w:t>
      </w:r>
    </w:p>
    <w:p w14:paraId="1B76C64D" w14:textId="77777777" w:rsidR="007F4CEC" w:rsidRDefault="007F4CEC" w:rsidP="007F4CEC"/>
    <w:p w14:paraId="36A236EA" w14:textId="77777777" w:rsidR="007F4CEC" w:rsidRDefault="007F4CEC" w:rsidP="007F4CEC"/>
    <w:p w14:paraId="082178AB" w14:textId="77777777" w:rsidR="007F4CEC" w:rsidRDefault="007F4CEC" w:rsidP="007F4CEC">
      <w:r>
        <w:t>Job Responsibilities:</w:t>
      </w:r>
    </w:p>
    <w:p w14:paraId="071EDA71" w14:textId="77777777" w:rsidR="007F4CEC" w:rsidRDefault="007F4CEC" w:rsidP="007F4CEC">
      <w:r>
        <w:t>A Database Administrator (DBA) maintains database service delivery across SQL Server, PostgreSQL, and Azure-based database platforms by performing the following responsibilities:</w:t>
      </w:r>
    </w:p>
    <w:p w14:paraId="45AEDBDF" w14:textId="77777777" w:rsidR="007F4CEC" w:rsidRDefault="007F4CEC" w:rsidP="007F4CEC">
      <w:r>
        <w:t>Core Database Operations</w:t>
      </w:r>
    </w:p>
    <w:p w14:paraId="6035C40A" w14:textId="77777777" w:rsidR="007F4CEC" w:rsidRDefault="007F4CEC" w:rsidP="007F4CEC">
      <w:pPr>
        <w:numPr>
          <w:ilvl w:val="0"/>
          <w:numId w:val="1"/>
        </w:numPr>
        <w:rPr>
          <w:rFonts w:eastAsia="Times New Roman"/>
        </w:rPr>
      </w:pPr>
      <w:r>
        <w:rPr>
          <w:rFonts w:eastAsia="Times New Roman"/>
        </w:rPr>
        <w:t>Installs, configures, and maintains SQL Server and PostgreSQL database platforms, including deployments on Azure (PaaS and IaaS) and on-premises environments.</w:t>
      </w:r>
    </w:p>
    <w:p w14:paraId="09AE9F29" w14:textId="77777777" w:rsidR="007F4CEC" w:rsidRDefault="007F4CEC" w:rsidP="007F4CEC">
      <w:pPr>
        <w:numPr>
          <w:ilvl w:val="0"/>
          <w:numId w:val="1"/>
        </w:numPr>
        <w:rPr>
          <w:rFonts w:eastAsia="Times New Roman"/>
        </w:rPr>
      </w:pPr>
      <w:r>
        <w:rPr>
          <w:rFonts w:eastAsia="Times New Roman"/>
        </w:rPr>
        <w:t>Reviews and contributes to the architecture, design, and implementation of database solutions to ensure alignment with platform standards, performance requirements, and security controls.</w:t>
      </w:r>
    </w:p>
    <w:p w14:paraId="0B1C8E1D" w14:textId="77777777" w:rsidR="007F4CEC" w:rsidRDefault="007F4CEC" w:rsidP="007F4CEC">
      <w:pPr>
        <w:numPr>
          <w:ilvl w:val="0"/>
          <w:numId w:val="1"/>
        </w:numPr>
        <w:rPr>
          <w:rFonts w:eastAsia="Times New Roman"/>
        </w:rPr>
      </w:pPr>
      <w:r>
        <w:rPr>
          <w:rFonts w:eastAsia="Times New Roman"/>
        </w:rPr>
        <w:t>Maintains and optimizes database structures (schemas, indexes, storage configurations) to meet evolving application and business requirements.</w:t>
      </w:r>
    </w:p>
    <w:p w14:paraId="61849413" w14:textId="77777777" w:rsidR="007F4CEC" w:rsidRDefault="007F4CEC" w:rsidP="007F4CEC">
      <w:pPr>
        <w:numPr>
          <w:ilvl w:val="0"/>
          <w:numId w:val="1"/>
        </w:numPr>
        <w:rPr>
          <w:rFonts w:eastAsia="Times New Roman"/>
        </w:rPr>
      </w:pPr>
      <w:r>
        <w:rPr>
          <w:rFonts w:eastAsia="Times New Roman"/>
        </w:rPr>
        <w:t>Monitors database health and performance, performing proactive tuning, issue prevention, and optimization across supported platforms.</w:t>
      </w:r>
    </w:p>
    <w:p w14:paraId="363176D1" w14:textId="77777777" w:rsidR="007F4CEC" w:rsidRDefault="007F4CEC" w:rsidP="007F4CEC"/>
    <w:p w14:paraId="22A80891" w14:textId="77777777" w:rsidR="007F4CEC" w:rsidRDefault="007F4CEC" w:rsidP="007F4CEC">
      <w:r>
        <w:t>Security, Compliance, and Data Protection</w:t>
      </w:r>
    </w:p>
    <w:p w14:paraId="235D77F2" w14:textId="77777777" w:rsidR="007F4CEC" w:rsidRDefault="007F4CEC" w:rsidP="007F4CEC">
      <w:pPr>
        <w:numPr>
          <w:ilvl w:val="0"/>
          <w:numId w:val="2"/>
        </w:numPr>
        <w:rPr>
          <w:rFonts w:eastAsia="Times New Roman"/>
        </w:rPr>
      </w:pPr>
      <w:r>
        <w:rPr>
          <w:rFonts w:eastAsia="Times New Roman"/>
        </w:rPr>
        <w:t>Implements and maintains database security controls, including authentication, authorization, encryption, and auditing, to protect sensitive and regulated data.</w:t>
      </w:r>
    </w:p>
    <w:p w14:paraId="53CF4D83" w14:textId="77777777" w:rsidR="007F4CEC" w:rsidRDefault="007F4CEC" w:rsidP="007F4CEC">
      <w:pPr>
        <w:numPr>
          <w:ilvl w:val="0"/>
          <w:numId w:val="2"/>
        </w:numPr>
        <w:rPr>
          <w:rFonts w:eastAsia="Times New Roman"/>
        </w:rPr>
      </w:pPr>
      <w:r>
        <w:rPr>
          <w:rFonts w:eastAsia="Times New Roman"/>
        </w:rPr>
        <w:t>Ensures databases comply with Government of Alberta security policies, audit requirements, and cross-government ICT standards.</w:t>
      </w:r>
    </w:p>
    <w:p w14:paraId="52DD892F" w14:textId="77777777" w:rsidR="007F4CEC" w:rsidRDefault="007F4CEC" w:rsidP="007F4CEC">
      <w:pPr>
        <w:numPr>
          <w:ilvl w:val="0"/>
          <w:numId w:val="2"/>
        </w:numPr>
        <w:rPr>
          <w:rFonts w:eastAsia="Times New Roman"/>
        </w:rPr>
      </w:pPr>
      <w:r>
        <w:rPr>
          <w:rFonts w:eastAsia="Times New Roman"/>
        </w:rPr>
        <w:t>Implements and monitors controls that support audit readiness, data integrity, and service accountability.</w:t>
      </w:r>
    </w:p>
    <w:p w14:paraId="17E4ADD0" w14:textId="77777777" w:rsidR="007F4CEC" w:rsidRDefault="007F4CEC" w:rsidP="007F4CEC"/>
    <w:p w14:paraId="3AECC0F5" w14:textId="77777777" w:rsidR="007F4CEC" w:rsidRDefault="007F4CEC" w:rsidP="007F4CEC">
      <w:r>
        <w:t>Backup, Recovery, and Resiliency</w:t>
      </w:r>
    </w:p>
    <w:p w14:paraId="27B339EB" w14:textId="77777777" w:rsidR="007F4CEC" w:rsidRDefault="007F4CEC" w:rsidP="007F4CEC">
      <w:pPr>
        <w:numPr>
          <w:ilvl w:val="0"/>
          <w:numId w:val="3"/>
        </w:numPr>
        <w:rPr>
          <w:rFonts w:eastAsia="Times New Roman"/>
        </w:rPr>
      </w:pPr>
      <w:r>
        <w:rPr>
          <w:rFonts w:eastAsia="Times New Roman"/>
        </w:rPr>
        <w:t>Plans, implements, and validates backup, restore, and disaster recovery procedures for SQL Server, PostgreSQL, and Azure database services.</w:t>
      </w:r>
    </w:p>
    <w:p w14:paraId="21C1A7B7" w14:textId="77777777" w:rsidR="007F4CEC" w:rsidRDefault="007F4CEC" w:rsidP="007F4CEC">
      <w:pPr>
        <w:numPr>
          <w:ilvl w:val="0"/>
          <w:numId w:val="3"/>
        </w:numPr>
        <w:rPr>
          <w:rFonts w:eastAsia="Times New Roman"/>
        </w:rPr>
      </w:pPr>
      <w:r>
        <w:rPr>
          <w:rFonts w:eastAsia="Times New Roman"/>
        </w:rPr>
        <w:t>Supports high availability and disaster recovery (HA/DR) solutions, including failover, replication, and recovery testing aligned with defined RPO/RTO targets.</w:t>
      </w:r>
    </w:p>
    <w:p w14:paraId="1D4BEBED" w14:textId="77777777" w:rsidR="007F4CEC" w:rsidRDefault="007F4CEC" w:rsidP="007F4CEC">
      <w:pPr>
        <w:numPr>
          <w:ilvl w:val="0"/>
          <w:numId w:val="3"/>
        </w:numPr>
        <w:rPr>
          <w:rFonts w:eastAsia="Times New Roman"/>
        </w:rPr>
      </w:pPr>
      <w:r>
        <w:rPr>
          <w:rFonts w:eastAsia="Times New Roman"/>
        </w:rPr>
        <w:lastRenderedPageBreak/>
        <w:t>Participates in incident response and recovery activities related to database outages or data integrity issues.</w:t>
      </w:r>
    </w:p>
    <w:p w14:paraId="04A6B1C7" w14:textId="77777777" w:rsidR="007F4CEC" w:rsidRDefault="007F4CEC" w:rsidP="007F4CEC"/>
    <w:p w14:paraId="09FEC822" w14:textId="77777777" w:rsidR="007F4CEC" w:rsidRDefault="007F4CEC" w:rsidP="007F4CEC">
      <w:r>
        <w:t>Capacity, Availability, and Lifecycle Management</w:t>
      </w:r>
    </w:p>
    <w:p w14:paraId="0E50739B" w14:textId="77777777" w:rsidR="007F4CEC" w:rsidRDefault="007F4CEC" w:rsidP="007F4CEC">
      <w:pPr>
        <w:numPr>
          <w:ilvl w:val="0"/>
          <w:numId w:val="4"/>
        </w:numPr>
        <w:rPr>
          <w:rFonts w:eastAsia="Times New Roman"/>
        </w:rPr>
      </w:pPr>
      <w:r>
        <w:rPr>
          <w:rFonts w:eastAsia="Times New Roman"/>
        </w:rPr>
        <w:t>Manages database capacity, including storage utilization, growth forecasting, and performance planning, across on-prem and Azure-hosted platforms.</w:t>
      </w:r>
    </w:p>
    <w:p w14:paraId="3F6FBE13" w14:textId="77777777" w:rsidR="007F4CEC" w:rsidRDefault="007F4CEC" w:rsidP="007F4CEC">
      <w:pPr>
        <w:numPr>
          <w:ilvl w:val="0"/>
          <w:numId w:val="4"/>
        </w:numPr>
        <w:rPr>
          <w:rFonts w:eastAsia="Times New Roman"/>
        </w:rPr>
      </w:pPr>
      <w:r>
        <w:rPr>
          <w:rFonts w:eastAsia="Times New Roman"/>
        </w:rPr>
        <w:t>Supports lifecycle activities such as patching, upgrades, migrations, and decommissioning, with guidance from Senior DBA Team Leads where appropriate.</w:t>
      </w:r>
    </w:p>
    <w:p w14:paraId="3CDBC4A8" w14:textId="77777777" w:rsidR="007F4CEC" w:rsidRDefault="007F4CEC" w:rsidP="007F4CEC">
      <w:pPr>
        <w:numPr>
          <w:ilvl w:val="0"/>
          <w:numId w:val="4"/>
        </w:numPr>
        <w:rPr>
          <w:rFonts w:eastAsia="Times New Roman"/>
        </w:rPr>
      </w:pPr>
      <w:r>
        <w:rPr>
          <w:rFonts w:eastAsia="Times New Roman"/>
        </w:rPr>
        <w:t>Assists Senior DBA Team Leads in the planning and execution of platform changes, upgrades, and modernization initiatives.</w:t>
      </w:r>
    </w:p>
    <w:p w14:paraId="56142E22" w14:textId="77777777" w:rsidR="007F4CEC" w:rsidRDefault="007F4CEC" w:rsidP="007F4CEC"/>
    <w:p w14:paraId="5F3AA4AB" w14:textId="77777777" w:rsidR="007F4CEC" w:rsidRDefault="007F4CEC" w:rsidP="007F4CEC">
      <w:r>
        <w:t>Collaboration and Service Delivery</w:t>
      </w:r>
    </w:p>
    <w:p w14:paraId="67CC178D" w14:textId="77777777" w:rsidR="007F4CEC" w:rsidRDefault="007F4CEC" w:rsidP="007F4CEC">
      <w:pPr>
        <w:numPr>
          <w:ilvl w:val="0"/>
          <w:numId w:val="5"/>
        </w:numPr>
        <w:rPr>
          <w:rFonts w:eastAsia="Times New Roman"/>
        </w:rPr>
      </w:pPr>
      <w:r>
        <w:rPr>
          <w:rFonts w:eastAsia="Times New Roman"/>
        </w:rPr>
        <w:t>Collaborates with application development teams to integrate new systems and applications with supported database platforms, providing guidance on database best practices.</w:t>
      </w:r>
    </w:p>
    <w:p w14:paraId="1BB0577D" w14:textId="77777777" w:rsidR="007F4CEC" w:rsidRDefault="007F4CEC" w:rsidP="007F4CEC">
      <w:pPr>
        <w:numPr>
          <w:ilvl w:val="0"/>
          <w:numId w:val="5"/>
        </w:numPr>
        <w:rPr>
          <w:rFonts w:eastAsia="Times New Roman"/>
        </w:rPr>
      </w:pPr>
      <w:r>
        <w:rPr>
          <w:rFonts w:eastAsia="Times New Roman"/>
        </w:rPr>
        <w:t>Troubleshoots and resolves database-related incidents and problems, escalating complex issues as required.</w:t>
      </w:r>
    </w:p>
    <w:p w14:paraId="57191307" w14:textId="77777777" w:rsidR="007F4CEC" w:rsidRDefault="007F4CEC" w:rsidP="007F4CEC">
      <w:pPr>
        <w:numPr>
          <w:ilvl w:val="0"/>
          <w:numId w:val="5"/>
        </w:numPr>
        <w:rPr>
          <w:rFonts w:eastAsia="Times New Roman"/>
        </w:rPr>
      </w:pPr>
      <w:r>
        <w:rPr>
          <w:rFonts w:eastAsia="Times New Roman"/>
        </w:rPr>
        <w:t>Liaises with branch resources, data custodians, and business stakeholders to ensure client priorities, service expectations, and issues are addressed in a timely manner.</w:t>
      </w:r>
    </w:p>
    <w:p w14:paraId="77FBCB5B" w14:textId="77777777" w:rsidR="007F4CEC" w:rsidRDefault="007F4CEC" w:rsidP="007F4CEC"/>
    <w:p w14:paraId="11B55DC5" w14:textId="77777777" w:rsidR="007F4CEC" w:rsidRDefault="007F4CEC" w:rsidP="007F4CEC">
      <w:r>
        <w:t>IT Service Management &amp; Operational Excellence</w:t>
      </w:r>
    </w:p>
    <w:p w14:paraId="75DAFDD8" w14:textId="77777777" w:rsidR="007F4CEC" w:rsidRDefault="007F4CEC" w:rsidP="007F4CEC">
      <w:pPr>
        <w:numPr>
          <w:ilvl w:val="0"/>
          <w:numId w:val="6"/>
        </w:numPr>
        <w:rPr>
          <w:rFonts w:eastAsia="Times New Roman"/>
        </w:rPr>
      </w:pPr>
      <w:r>
        <w:rPr>
          <w:rFonts w:eastAsia="Times New Roman"/>
        </w:rPr>
        <w:t>Performs work in alignment with IT Incident, Problem, Change, Project, Service, and Capacity Management practices to ensure stable and reliable database services.</w:t>
      </w:r>
    </w:p>
    <w:p w14:paraId="6D4938E8" w14:textId="77777777" w:rsidR="007F4CEC" w:rsidRDefault="007F4CEC" w:rsidP="007F4CEC">
      <w:pPr>
        <w:numPr>
          <w:ilvl w:val="0"/>
          <w:numId w:val="6"/>
        </w:numPr>
        <w:rPr>
          <w:rFonts w:eastAsia="Times New Roman"/>
        </w:rPr>
      </w:pPr>
      <w:r>
        <w:rPr>
          <w:rFonts w:eastAsia="Times New Roman"/>
        </w:rPr>
        <w:t>Implements changes to database services following approved change management and release processes.</w:t>
      </w:r>
    </w:p>
    <w:p w14:paraId="2D191CC9" w14:textId="77777777" w:rsidR="007F4CEC" w:rsidRDefault="007F4CEC" w:rsidP="007F4CEC">
      <w:pPr>
        <w:numPr>
          <w:ilvl w:val="0"/>
          <w:numId w:val="6"/>
        </w:numPr>
        <w:rPr>
          <w:rFonts w:eastAsia="Times New Roman"/>
        </w:rPr>
      </w:pPr>
      <w:r>
        <w:rPr>
          <w:rFonts w:eastAsia="Times New Roman"/>
        </w:rPr>
        <w:t>Oversees daily operational activities to ensure continued service availability, integrity, and compliance.</w:t>
      </w:r>
    </w:p>
    <w:p w14:paraId="37721247" w14:textId="77777777" w:rsidR="007F4CEC" w:rsidRDefault="007F4CEC" w:rsidP="007F4CEC"/>
    <w:p w14:paraId="2E33FDAB" w14:textId="77777777" w:rsidR="007F4CEC" w:rsidRDefault="007F4CEC" w:rsidP="007F4CEC">
      <w:r>
        <w:t>Standards, Documentation, and Continuous Improvement</w:t>
      </w:r>
    </w:p>
    <w:p w14:paraId="1B9754BA" w14:textId="77777777" w:rsidR="007F4CEC" w:rsidRDefault="007F4CEC" w:rsidP="007F4CEC">
      <w:pPr>
        <w:numPr>
          <w:ilvl w:val="0"/>
          <w:numId w:val="7"/>
        </w:numPr>
        <w:rPr>
          <w:rFonts w:eastAsia="Times New Roman"/>
        </w:rPr>
      </w:pPr>
      <w:r>
        <w:rPr>
          <w:rFonts w:eastAsia="Times New Roman"/>
        </w:rPr>
        <w:t>Is accountable for the implementation and maintenance of procedures, tools, and technical documentation required to support high levels of database service availability and reliability.</w:t>
      </w:r>
    </w:p>
    <w:p w14:paraId="179A219D" w14:textId="77777777" w:rsidR="007F4CEC" w:rsidRDefault="007F4CEC" w:rsidP="007F4CEC">
      <w:pPr>
        <w:numPr>
          <w:ilvl w:val="0"/>
          <w:numId w:val="7"/>
        </w:numPr>
        <w:rPr>
          <w:rFonts w:eastAsia="Times New Roman"/>
        </w:rPr>
      </w:pPr>
      <w:r>
        <w:rPr>
          <w:rFonts w:eastAsia="Times New Roman"/>
        </w:rPr>
        <w:t>Contributes to the development and maintenance of database standards, operational runbooks, and support procedures aligned with industry best practices.</w:t>
      </w:r>
    </w:p>
    <w:p w14:paraId="0F0846CD" w14:textId="77777777" w:rsidR="007F4CEC" w:rsidRDefault="007F4CEC" w:rsidP="007F4CEC">
      <w:pPr>
        <w:numPr>
          <w:ilvl w:val="0"/>
          <w:numId w:val="7"/>
        </w:numPr>
        <w:rPr>
          <w:rFonts w:eastAsia="Times New Roman"/>
        </w:rPr>
      </w:pPr>
      <w:r>
        <w:rPr>
          <w:rFonts w:eastAsia="Times New Roman"/>
        </w:rPr>
        <w:t>Stays current with developments in SQL Server, PostgreSQL, and Azure database technologies, recommending incremental improvements and efficiencies.</w:t>
      </w:r>
    </w:p>
    <w:p w14:paraId="4B90D3E1" w14:textId="77777777" w:rsidR="007F4CEC" w:rsidRDefault="007F4CEC" w:rsidP="007F4CEC">
      <w:pPr>
        <w:numPr>
          <w:ilvl w:val="0"/>
          <w:numId w:val="7"/>
        </w:numPr>
        <w:rPr>
          <w:rFonts w:eastAsia="Times New Roman"/>
        </w:rPr>
      </w:pPr>
      <w:r>
        <w:rPr>
          <w:rFonts w:eastAsia="Times New Roman"/>
        </w:rPr>
        <w:t>Identifies opportunities to improve operational efficiency through standardization, automation, and improved monitoring, applying leadership skills during project-based work as appropriate.</w:t>
      </w:r>
    </w:p>
    <w:p w14:paraId="0E1D3B6E" w14:textId="77777777" w:rsidR="007F4CEC" w:rsidRDefault="007F4CEC" w:rsidP="007F4CEC"/>
    <w:p w14:paraId="127D9287" w14:textId="77777777" w:rsidR="007F4CEC" w:rsidRDefault="007F4CEC" w:rsidP="007F4CEC">
      <w:r>
        <w:t>Service and Platform Enablement</w:t>
      </w:r>
    </w:p>
    <w:p w14:paraId="766AF4EB" w14:textId="77777777" w:rsidR="007F4CEC" w:rsidRDefault="007F4CEC" w:rsidP="007F4CEC">
      <w:pPr>
        <w:numPr>
          <w:ilvl w:val="0"/>
          <w:numId w:val="8"/>
        </w:numPr>
        <w:rPr>
          <w:rFonts w:eastAsia="Times New Roman"/>
        </w:rPr>
      </w:pPr>
      <w:r>
        <w:rPr>
          <w:rFonts w:eastAsia="Times New Roman"/>
        </w:rPr>
        <w:t>Supports the implementation and operation of new IMT database services under the direction of senior technical leadership, contributing to business analysis, technical design, implementation, monitoring, and ongoing support.</w:t>
      </w:r>
    </w:p>
    <w:p w14:paraId="0042DE33" w14:textId="77777777" w:rsidR="007F4CEC" w:rsidRDefault="007F4CEC" w:rsidP="007F4CEC">
      <w:pPr>
        <w:numPr>
          <w:ilvl w:val="0"/>
          <w:numId w:val="8"/>
        </w:numPr>
        <w:rPr>
          <w:rFonts w:eastAsia="Times New Roman"/>
        </w:rPr>
      </w:pPr>
      <w:r>
        <w:rPr>
          <w:rFonts w:eastAsia="Times New Roman"/>
        </w:rPr>
        <w:t>Provides technical support for database services and contributes to reporting mechanisms that promote service transparency and end-user self-sufficiency.</w:t>
      </w:r>
    </w:p>
    <w:p w14:paraId="205303B3" w14:textId="77777777" w:rsidR="007F4CEC" w:rsidRDefault="007F4CEC" w:rsidP="007F4CEC"/>
    <w:p w14:paraId="2BC1B436" w14:textId="77777777" w:rsidR="007F4CEC" w:rsidRDefault="007F4CEC" w:rsidP="007F4CEC">
      <w:r>
        <w:t>Problem Solving, Service Delivery, and Collaboration</w:t>
      </w:r>
    </w:p>
    <w:p w14:paraId="412B36BC" w14:textId="77777777" w:rsidR="007F4CEC" w:rsidRDefault="007F4CEC" w:rsidP="007F4CEC"/>
    <w:p w14:paraId="31DFB033" w14:textId="77777777" w:rsidR="007F4CEC" w:rsidRDefault="007F4CEC" w:rsidP="007F4CEC">
      <w:pPr>
        <w:ind w:left="720"/>
      </w:pPr>
      <w:r>
        <w:t xml:space="preserve">This role applies strong problem-solving and analytical skills to support and operate SQL Server, PostgreSQL, and Azure-based database services used across the Government of Alberta and by the </w:t>
      </w:r>
      <w:proofErr w:type="gramStart"/>
      <w:r>
        <w:t>general public</w:t>
      </w:r>
      <w:proofErr w:type="gramEnd"/>
      <w:r>
        <w:t>. The position contributes to the creation, maintenance, and operation of highly available, secure, and reliable IMT services, working closely with branch team members, ministries, and service owners to meet business and public service needs.</w:t>
      </w:r>
    </w:p>
    <w:p w14:paraId="6D776F90" w14:textId="77777777" w:rsidR="007F4CEC" w:rsidRDefault="007F4CEC" w:rsidP="007F4CEC">
      <w:pPr>
        <w:ind w:left="720"/>
      </w:pPr>
    </w:p>
    <w:p w14:paraId="19FFDBC1" w14:textId="77777777" w:rsidR="007F4CEC" w:rsidRDefault="007F4CEC" w:rsidP="007F4CEC">
      <w:pPr>
        <w:ind w:left="720"/>
      </w:pPr>
      <w:r>
        <w:t>The Database Administrator performs analysis and diagnosis of database and platform issues, determining appropriate solutions within their area of responsibility and knowing when to independently investigate, when to consult with a Senior DBA Team Lead, and when to escalate complex or high-risk issues to senior technical resources. The role coordinates the implementation of fixes and enhancements, often working with application teams, business analysts, vendors, and other technical partners to resolve issues effectively.</w:t>
      </w:r>
    </w:p>
    <w:p w14:paraId="079E3915" w14:textId="77777777" w:rsidR="007F4CEC" w:rsidRDefault="007F4CEC" w:rsidP="007F4CEC">
      <w:pPr>
        <w:ind w:left="720"/>
      </w:pPr>
    </w:p>
    <w:p w14:paraId="5C00966C" w14:textId="77777777" w:rsidR="007F4CEC" w:rsidRDefault="007F4CEC" w:rsidP="007F4CEC">
      <w:pPr>
        <w:ind w:left="720"/>
      </w:pPr>
      <w:r>
        <w:t>This position regularly encounters complex technical challenges that require a strong technical foundation, creativity, and continuous learning. Problems are addressed through research, collaboration with other technology experts across the GoA, and the application of best practices for database operations, ensuring stable, well-supported services that align with organizational standards and governance.</w:t>
      </w:r>
    </w:p>
    <w:p w14:paraId="1D978521" w14:textId="77777777" w:rsidR="007F4CEC" w:rsidRDefault="007F4CEC" w:rsidP="007F4CEC"/>
    <w:p w14:paraId="58DAF8EF" w14:textId="77777777" w:rsidR="007F4CEC" w:rsidRDefault="007F4CEC" w:rsidP="007F4CEC"/>
    <w:p w14:paraId="638CE0A2" w14:textId="77777777" w:rsidR="007F4CEC" w:rsidRDefault="007F4CEC" w:rsidP="007F4CEC">
      <w:r>
        <w:t>Job-Specific Experience, Technical Competencies, and Training</w:t>
      </w:r>
    </w:p>
    <w:p w14:paraId="2E9291B3" w14:textId="77777777" w:rsidR="007F4CEC" w:rsidRDefault="007F4CEC" w:rsidP="007F4CEC">
      <w:pPr>
        <w:numPr>
          <w:ilvl w:val="0"/>
          <w:numId w:val="9"/>
        </w:numPr>
        <w:rPr>
          <w:rFonts w:eastAsia="Times New Roman"/>
        </w:rPr>
      </w:pPr>
      <w:r>
        <w:rPr>
          <w:rFonts w:eastAsia="Times New Roman"/>
        </w:rPr>
        <w:t>Requires a minimum of four (4) years of experience supporting enterprise technology environments, with demonstrated experience supporting database platforms, application infrastructure, or data-driven systems.</w:t>
      </w:r>
    </w:p>
    <w:p w14:paraId="47EC5A9E" w14:textId="77777777" w:rsidR="007F4CEC" w:rsidRDefault="007F4CEC" w:rsidP="007F4CEC">
      <w:pPr>
        <w:numPr>
          <w:ilvl w:val="0"/>
          <w:numId w:val="9"/>
        </w:numPr>
        <w:rPr>
          <w:rFonts w:eastAsia="Times New Roman"/>
        </w:rPr>
      </w:pPr>
      <w:r>
        <w:rPr>
          <w:rFonts w:eastAsia="Times New Roman"/>
        </w:rPr>
        <w:t>Experience supporting relational database platforms such as SQL Server and/or PostgreSQL, including operational support activities (monitoring, performance tuning, security, backup and recovery), is required.</w:t>
      </w:r>
    </w:p>
    <w:p w14:paraId="515D2A07" w14:textId="77777777" w:rsidR="007F4CEC" w:rsidRDefault="007F4CEC" w:rsidP="007F4CEC">
      <w:pPr>
        <w:numPr>
          <w:ilvl w:val="0"/>
          <w:numId w:val="9"/>
        </w:numPr>
        <w:rPr>
          <w:rFonts w:eastAsia="Times New Roman"/>
        </w:rPr>
      </w:pPr>
      <w:r>
        <w:rPr>
          <w:rFonts w:eastAsia="Times New Roman"/>
        </w:rPr>
        <w:t>Experience supporting cloud-hosted environments, including Azure-based services (PaaS and/or IaaS), and working with application or development teams to support database-backed solutions is considered an asset.</w:t>
      </w:r>
    </w:p>
    <w:p w14:paraId="7E222515" w14:textId="77777777" w:rsidR="007F4CEC" w:rsidRDefault="007F4CEC" w:rsidP="007F4CEC">
      <w:pPr>
        <w:numPr>
          <w:ilvl w:val="0"/>
          <w:numId w:val="9"/>
        </w:numPr>
        <w:rPr>
          <w:rFonts w:eastAsia="Times New Roman"/>
        </w:rPr>
      </w:pPr>
      <w:r>
        <w:rPr>
          <w:rFonts w:eastAsia="Times New Roman"/>
        </w:rPr>
        <w:t>Experience working within IT Service Management (ITSM) frameworks (Incident, Problem, Change, and Service Management); ITIL Foundation certification is preferred but not required.</w:t>
      </w:r>
    </w:p>
    <w:p w14:paraId="7EF58EF6" w14:textId="77777777" w:rsidR="007F4CEC" w:rsidRDefault="007F4CEC" w:rsidP="007F4CEC">
      <w:pPr>
        <w:numPr>
          <w:ilvl w:val="0"/>
          <w:numId w:val="9"/>
        </w:numPr>
        <w:rPr>
          <w:rFonts w:eastAsia="Times New Roman"/>
        </w:rPr>
      </w:pPr>
      <w:r>
        <w:rPr>
          <w:rFonts w:eastAsia="Times New Roman"/>
        </w:rPr>
        <w:t>Demonstrated ability to apply strong analytical, planning, organizational, and problem-solving skills to diagnose and resolve technical issues. The ability to determine when to independently investigate, when to consult with team leads, and when to escalate complex issues is critical to success in this role.</w:t>
      </w:r>
    </w:p>
    <w:p w14:paraId="2D7A68C8" w14:textId="77777777" w:rsidR="007F4CEC" w:rsidRDefault="007F4CEC" w:rsidP="007F4CEC">
      <w:pPr>
        <w:numPr>
          <w:ilvl w:val="0"/>
          <w:numId w:val="9"/>
        </w:numPr>
        <w:rPr>
          <w:rFonts w:eastAsia="Times New Roman"/>
        </w:rPr>
      </w:pPr>
      <w:r>
        <w:rPr>
          <w:rFonts w:eastAsia="Times New Roman"/>
        </w:rPr>
        <w:t>Strong communication and collaboration skills, with the ability to work effectively with technical teams, business stakeholders, vendors, and external service providers.</w:t>
      </w:r>
    </w:p>
    <w:p w14:paraId="4C128C69" w14:textId="77777777" w:rsidR="007F4CEC" w:rsidRDefault="007F4CEC" w:rsidP="007F4CEC"/>
    <w:p w14:paraId="7EA1641E" w14:textId="77777777" w:rsidR="007F4CEC" w:rsidRDefault="007F4CEC" w:rsidP="007F4CEC">
      <w:r>
        <w:t>Systems Thinking.</w:t>
      </w:r>
    </w:p>
    <w:p w14:paraId="108ADA26" w14:textId="77777777" w:rsidR="007F4CEC" w:rsidRDefault="007F4CEC" w:rsidP="007F4CEC">
      <w:pPr>
        <w:pStyle w:val="ListParagraph"/>
        <w:numPr>
          <w:ilvl w:val="0"/>
          <w:numId w:val="10"/>
        </w:numPr>
        <w:contextualSpacing w:val="0"/>
        <w:rPr>
          <w:rFonts w:eastAsia="Times New Roman"/>
        </w:rPr>
      </w:pPr>
      <w:r>
        <w:rPr>
          <w:rFonts w:eastAsia="Times New Roman"/>
        </w:rPr>
        <w:t>Evaluates database and platform solutions by considering technical, operational, security, and service impacts, including downstream effects on applications, users, and dependent services.</w:t>
      </w:r>
    </w:p>
    <w:p w14:paraId="39DF9209" w14:textId="77777777" w:rsidR="007F4CEC" w:rsidRDefault="007F4CEC" w:rsidP="007F4CEC">
      <w:pPr>
        <w:pStyle w:val="ListParagraph"/>
        <w:numPr>
          <w:ilvl w:val="0"/>
          <w:numId w:val="10"/>
        </w:numPr>
        <w:contextualSpacing w:val="0"/>
        <w:rPr>
          <w:rFonts w:eastAsia="Times New Roman"/>
        </w:rPr>
      </w:pPr>
      <w:r>
        <w:rPr>
          <w:rFonts w:eastAsia="Times New Roman"/>
        </w:rPr>
        <w:lastRenderedPageBreak/>
        <w:t>Demonstrates an understanding of complex, interconnected environments (applications, databases, cloud platforms, infrastructure, and security controls) and anticipates how changes to one component may impact others.</w:t>
      </w:r>
    </w:p>
    <w:p w14:paraId="50F23FE1" w14:textId="77777777" w:rsidR="007F4CEC" w:rsidRDefault="007F4CEC" w:rsidP="007F4CEC">
      <w:pPr>
        <w:pStyle w:val="ListParagraph"/>
        <w:numPr>
          <w:ilvl w:val="0"/>
          <w:numId w:val="10"/>
        </w:numPr>
        <w:contextualSpacing w:val="0"/>
        <w:rPr>
          <w:rFonts w:eastAsia="Times New Roman"/>
        </w:rPr>
      </w:pPr>
      <w:r>
        <w:rPr>
          <w:rFonts w:eastAsia="Times New Roman"/>
        </w:rPr>
        <w:t>Considers the broader impact to Government of Alberta services, ministry clients, and the public when planning or implementing changes to managed database services.</w:t>
      </w:r>
    </w:p>
    <w:p w14:paraId="7889880E" w14:textId="77777777" w:rsidR="007F4CEC" w:rsidRDefault="007F4CEC" w:rsidP="007F4CEC">
      <w:pPr>
        <w:pStyle w:val="ListParagraph"/>
        <w:numPr>
          <w:ilvl w:val="0"/>
          <w:numId w:val="10"/>
        </w:numPr>
        <w:contextualSpacing w:val="0"/>
        <w:rPr>
          <w:rFonts w:eastAsia="Times New Roman"/>
        </w:rPr>
      </w:pPr>
      <w:r>
        <w:rPr>
          <w:rFonts w:eastAsia="Times New Roman"/>
        </w:rPr>
        <w:t>Aligns technical decisions with organizational standards, governance requirements, and service objectives, identifying risks and constraints that could affect successful delivery.</w:t>
      </w:r>
    </w:p>
    <w:p w14:paraId="4F3581D0" w14:textId="77777777" w:rsidR="007F4CEC" w:rsidRDefault="007F4CEC" w:rsidP="007F4CEC">
      <w:pPr>
        <w:pStyle w:val="ListParagraph"/>
        <w:numPr>
          <w:ilvl w:val="0"/>
          <w:numId w:val="10"/>
        </w:numPr>
        <w:contextualSpacing w:val="0"/>
        <w:rPr>
          <w:rFonts w:eastAsia="Times New Roman"/>
        </w:rPr>
      </w:pPr>
      <w:r>
        <w:rPr>
          <w:rFonts w:eastAsia="Times New Roman"/>
        </w:rPr>
        <w:t>Recognizes behaviors or technical practices that could negatively impact service reliability or progress and raises concerns through appropriate channels.</w:t>
      </w:r>
    </w:p>
    <w:p w14:paraId="52C1E4CC" w14:textId="77777777" w:rsidR="007F4CEC" w:rsidRDefault="007F4CEC" w:rsidP="007F4CEC"/>
    <w:p w14:paraId="737356F3" w14:textId="77777777" w:rsidR="007F4CEC" w:rsidRDefault="007F4CEC" w:rsidP="007F4CEC">
      <w:r>
        <w:t>Problem Solving</w:t>
      </w:r>
    </w:p>
    <w:p w14:paraId="2ADB973F" w14:textId="77777777" w:rsidR="007F4CEC" w:rsidRDefault="007F4CEC" w:rsidP="007F4CEC">
      <w:pPr>
        <w:pStyle w:val="ListParagraph"/>
        <w:numPr>
          <w:ilvl w:val="0"/>
          <w:numId w:val="11"/>
        </w:numPr>
        <w:contextualSpacing w:val="0"/>
        <w:rPr>
          <w:rFonts w:eastAsia="Times New Roman"/>
        </w:rPr>
      </w:pPr>
      <w:r>
        <w:rPr>
          <w:rFonts w:eastAsia="Times New Roman"/>
        </w:rPr>
        <w:t>Applies creative and analytical thinking to diagnose complex database and platform issues, asking the right technical and operational questions to identify effective solutions.</w:t>
      </w:r>
    </w:p>
    <w:p w14:paraId="4546262D" w14:textId="77777777" w:rsidR="007F4CEC" w:rsidRDefault="007F4CEC" w:rsidP="007F4CEC">
      <w:pPr>
        <w:pStyle w:val="ListParagraph"/>
        <w:numPr>
          <w:ilvl w:val="0"/>
          <w:numId w:val="12"/>
        </w:numPr>
        <w:contextualSpacing w:val="0"/>
        <w:rPr>
          <w:rFonts w:eastAsia="Times New Roman"/>
        </w:rPr>
      </w:pPr>
      <w:r>
        <w:rPr>
          <w:rFonts w:eastAsia="Times New Roman"/>
        </w:rPr>
        <w:t>Works independently and, when required, collaborates with or provides guidance to technical peers to resolve complex problems affecting managed database services.</w:t>
      </w:r>
    </w:p>
    <w:p w14:paraId="2F336178" w14:textId="77777777" w:rsidR="007F4CEC" w:rsidRDefault="007F4CEC" w:rsidP="007F4CEC">
      <w:pPr>
        <w:pStyle w:val="ListParagraph"/>
        <w:numPr>
          <w:ilvl w:val="0"/>
          <w:numId w:val="12"/>
        </w:numPr>
        <w:contextualSpacing w:val="0"/>
        <w:rPr>
          <w:rFonts w:eastAsia="Times New Roman"/>
        </w:rPr>
      </w:pPr>
      <w:r>
        <w:rPr>
          <w:rFonts w:eastAsia="Times New Roman"/>
        </w:rPr>
        <w:t>Proactively identifies opportunities to improve efficiency, reliability, and maintainability through better configurations, automation, standardization, or improved monitoring.</w:t>
      </w:r>
    </w:p>
    <w:p w14:paraId="612EF941" w14:textId="77777777" w:rsidR="007F4CEC" w:rsidRDefault="007F4CEC" w:rsidP="007F4CEC">
      <w:pPr>
        <w:pStyle w:val="ListParagraph"/>
        <w:numPr>
          <w:ilvl w:val="0"/>
          <w:numId w:val="12"/>
        </w:numPr>
        <w:contextualSpacing w:val="0"/>
        <w:rPr>
          <w:rFonts w:eastAsia="Times New Roman"/>
        </w:rPr>
      </w:pPr>
      <w:r>
        <w:rPr>
          <w:rFonts w:eastAsia="Times New Roman"/>
        </w:rPr>
        <w:t xml:space="preserve">Performs root cause analysis for recurring or </w:t>
      </w:r>
      <w:proofErr w:type="gramStart"/>
      <w:r>
        <w:rPr>
          <w:rFonts w:eastAsia="Times New Roman"/>
        </w:rPr>
        <w:t>high-impact</w:t>
      </w:r>
      <w:proofErr w:type="gramEnd"/>
      <w:r>
        <w:rPr>
          <w:rFonts w:eastAsia="Times New Roman"/>
        </w:rPr>
        <w:t xml:space="preserve"> issues and implements preventative measures to reduce the likelihood of future incidents.</w:t>
      </w:r>
    </w:p>
    <w:p w14:paraId="621D2973" w14:textId="77777777" w:rsidR="007F4CEC" w:rsidRDefault="007F4CEC" w:rsidP="007F4CEC">
      <w:pPr>
        <w:pStyle w:val="ListParagraph"/>
        <w:numPr>
          <w:ilvl w:val="0"/>
          <w:numId w:val="12"/>
        </w:numPr>
        <w:contextualSpacing w:val="0"/>
        <w:rPr>
          <w:rFonts w:eastAsia="Times New Roman"/>
        </w:rPr>
      </w:pPr>
      <w:r>
        <w:rPr>
          <w:rFonts w:eastAsia="Times New Roman"/>
        </w:rPr>
        <w:t>Contributes to an environment that supports continuous improvement and innovation by sharing lessons learned, proposing enhancements, and removing technical or process barriers to effective problem resolution.</w:t>
      </w:r>
    </w:p>
    <w:p w14:paraId="13CBFDC4" w14:textId="77777777" w:rsidR="007F4CEC" w:rsidRDefault="007F4CEC" w:rsidP="007F4CEC"/>
    <w:p w14:paraId="13D30BA4" w14:textId="77777777" w:rsidR="007F4CEC" w:rsidRDefault="007F4CEC" w:rsidP="007F4CEC">
      <w:r>
        <w:t>Agility</w:t>
      </w:r>
    </w:p>
    <w:p w14:paraId="22725857" w14:textId="77777777" w:rsidR="007F4CEC" w:rsidRDefault="007F4CEC" w:rsidP="007F4CEC">
      <w:pPr>
        <w:pStyle w:val="ListParagraph"/>
        <w:numPr>
          <w:ilvl w:val="0"/>
          <w:numId w:val="12"/>
        </w:numPr>
        <w:contextualSpacing w:val="0"/>
        <w:rPr>
          <w:rFonts w:eastAsia="Times New Roman"/>
        </w:rPr>
      </w:pPr>
      <w:r>
        <w:rPr>
          <w:rFonts w:eastAsia="Times New Roman"/>
        </w:rPr>
        <w:t>Adapts technical approach and priorities in environments where operational conditions, service demands, and platform requirements frequently change, particularly across managed database services.</w:t>
      </w:r>
    </w:p>
    <w:p w14:paraId="17B3B934" w14:textId="77777777" w:rsidR="007F4CEC" w:rsidRDefault="007F4CEC" w:rsidP="007F4CEC">
      <w:pPr>
        <w:pStyle w:val="ListParagraph"/>
        <w:numPr>
          <w:ilvl w:val="0"/>
          <w:numId w:val="12"/>
        </w:numPr>
        <w:contextualSpacing w:val="0"/>
        <w:rPr>
          <w:rFonts w:eastAsia="Times New Roman"/>
        </w:rPr>
      </w:pPr>
      <w:r>
        <w:rPr>
          <w:rFonts w:eastAsia="Times New Roman"/>
        </w:rPr>
        <w:t>Makes sound technical decisions and communicates clearly and effectively under pressure, such as during service incidents, urgent change windows, or competing priorities.</w:t>
      </w:r>
    </w:p>
    <w:p w14:paraId="64D4D130" w14:textId="77777777" w:rsidR="007F4CEC" w:rsidRDefault="007F4CEC" w:rsidP="007F4CEC">
      <w:pPr>
        <w:pStyle w:val="ListParagraph"/>
        <w:numPr>
          <w:ilvl w:val="0"/>
          <w:numId w:val="12"/>
        </w:numPr>
        <w:contextualSpacing w:val="0"/>
        <w:rPr>
          <w:rFonts w:eastAsia="Times New Roman"/>
        </w:rPr>
      </w:pPr>
      <w:r>
        <w:rPr>
          <w:rFonts w:eastAsia="Times New Roman"/>
        </w:rPr>
        <w:t>Identifies barriers to effective service delivery and innovates within established standards and governance to overcome technical or operational challenges.</w:t>
      </w:r>
    </w:p>
    <w:p w14:paraId="5369FB59" w14:textId="77777777" w:rsidR="007F4CEC" w:rsidRDefault="007F4CEC" w:rsidP="007F4CEC">
      <w:pPr>
        <w:pStyle w:val="ListParagraph"/>
        <w:numPr>
          <w:ilvl w:val="0"/>
          <w:numId w:val="12"/>
        </w:numPr>
        <w:contextualSpacing w:val="0"/>
        <w:rPr>
          <w:rFonts w:eastAsia="Times New Roman"/>
        </w:rPr>
      </w:pPr>
      <w:r>
        <w:rPr>
          <w:rFonts w:eastAsia="Times New Roman"/>
        </w:rPr>
        <w:t>Proactively explains the impact of changes to database services on applications, teams, and stakeholders, and integrates changes into existing operational practices.</w:t>
      </w:r>
    </w:p>
    <w:p w14:paraId="23DC682A" w14:textId="77777777" w:rsidR="007F4CEC" w:rsidRDefault="007F4CEC" w:rsidP="007F4CEC">
      <w:pPr>
        <w:pStyle w:val="ListParagraph"/>
        <w:numPr>
          <w:ilvl w:val="0"/>
          <w:numId w:val="12"/>
        </w:numPr>
        <w:contextualSpacing w:val="0"/>
        <w:rPr>
          <w:rFonts w:eastAsia="Times New Roman"/>
        </w:rPr>
      </w:pPr>
      <w:r>
        <w:rPr>
          <w:rFonts w:eastAsia="Times New Roman"/>
        </w:rPr>
        <w:t>Quickly identifies and engages the appropriate technical resources (e.g., database, infrastructure, cloud, security, or application teams) when complex, cross-discipline coordination is required to resolve issues or deliver changes.</w:t>
      </w:r>
    </w:p>
    <w:p w14:paraId="5994DD23" w14:textId="77777777" w:rsidR="007F4CEC" w:rsidRDefault="007F4CEC" w:rsidP="007F4CEC"/>
    <w:p w14:paraId="3EF4654D" w14:textId="77777777" w:rsidR="007F4CEC" w:rsidRDefault="007F4CEC" w:rsidP="007F4CEC">
      <w:r>
        <w:t>Drive for Results</w:t>
      </w:r>
    </w:p>
    <w:p w14:paraId="40DF0FCB" w14:textId="77777777" w:rsidR="007F4CEC" w:rsidRDefault="007F4CEC" w:rsidP="007F4CEC">
      <w:pPr>
        <w:pStyle w:val="ListParagraph"/>
        <w:numPr>
          <w:ilvl w:val="0"/>
          <w:numId w:val="12"/>
        </w:numPr>
        <w:contextualSpacing w:val="0"/>
        <w:rPr>
          <w:rFonts w:eastAsia="Times New Roman"/>
        </w:rPr>
      </w:pPr>
      <w:r>
        <w:rPr>
          <w:rFonts w:eastAsia="Times New Roman"/>
        </w:rPr>
        <w:t>Takes accountability for the reliability, performance, and supportability of assigned managed database services, including acknowledging indirect impacts and working to resolve them.</w:t>
      </w:r>
    </w:p>
    <w:p w14:paraId="486DA9E6" w14:textId="77777777" w:rsidR="007F4CEC" w:rsidRDefault="007F4CEC" w:rsidP="007F4CEC">
      <w:pPr>
        <w:pStyle w:val="ListParagraph"/>
        <w:numPr>
          <w:ilvl w:val="0"/>
          <w:numId w:val="12"/>
        </w:numPr>
        <w:contextualSpacing w:val="0"/>
        <w:rPr>
          <w:rFonts w:eastAsia="Times New Roman"/>
        </w:rPr>
      </w:pPr>
      <w:r>
        <w:rPr>
          <w:rFonts w:eastAsia="Times New Roman"/>
        </w:rPr>
        <w:t>Uses a variety of tools and feedback mechanisms (monitoring, metrics, incident trends, and service reviews) to measure performance against service expectations and identify areas for improvement.</w:t>
      </w:r>
    </w:p>
    <w:p w14:paraId="321BBD83" w14:textId="77777777" w:rsidR="007F4CEC" w:rsidRDefault="007F4CEC" w:rsidP="007F4CEC">
      <w:pPr>
        <w:pStyle w:val="ListParagraph"/>
        <w:numPr>
          <w:ilvl w:val="0"/>
          <w:numId w:val="12"/>
        </w:numPr>
        <w:contextualSpacing w:val="0"/>
        <w:rPr>
          <w:rFonts w:eastAsia="Times New Roman"/>
        </w:rPr>
      </w:pPr>
      <w:r>
        <w:rPr>
          <w:rFonts w:eastAsia="Times New Roman"/>
        </w:rPr>
        <w:t>Identifies operational inefficiencies and implements practical, sustainable solutions that improve service quality, reduce risk, or enhance efficiency, while aligning with APS direction and governance.</w:t>
      </w:r>
    </w:p>
    <w:p w14:paraId="6D422613" w14:textId="77777777" w:rsidR="007F4CEC" w:rsidRDefault="007F4CEC" w:rsidP="007F4CEC">
      <w:pPr>
        <w:pStyle w:val="ListParagraph"/>
        <w:numPr>
          <w:ilvl w:val="0"/>
          <w:numId w:val="12"/>
        </w:numPr>
        <w:contextualSpacing w:val="0"/>
        <w:rPr>
          <w:rFonts w:eastAsia="Times New Roman"/>
        </w:rPr>
      </w:pPr>
      <w:r>
        <w:rPr>
          <w:rFonts w:eastAsia="Times New Roman"/>
        </w:rPr>
        <w:lastRenderedPageBreak/>
        <w:t>Supports a culture of accountability by setting realistic goals, following through on commitments, and encouraging peers to take ownership of outcomes within their areas of responsibility.</w:t>
      </w:r>
    </w:p>
    <w:p w14:paraId="1DBB9ECA" w14:textId="77777777" w:rsidR="007F4CEC" w:rsidRDefault="007F4CEC" w:rsidP="007F4CEC">
      <w:pPr>
        <w:pStyle w:val="ListParagraph"/>
        <w:numPr>
          <w:ilvl w:val="0"/>
          <w:numId w:val="12"/>
        </w:numPr>
        <w:contextualSpacing w:val="0"/>
        <w:rPr>
          <w:rFonts w:eastAsia="Times New Roman"/>
        </w:rPr>
      </w:pPr>
      <w:r>
        <w:rPr>
          <w:rFonts w:eastAsia="Times New Roman"/>
        </w:rPr>
        <w:t>Prioritizes continuous learning and skill development by actively pursuing training, knowledge sharing, and hands-on learning to keep pace with evolving database technologies and to improve individual and team capability in support of GoA services and Albertans.</w:t>
      </w:r>
    </w:p>
    <w:p w14:paraId="20E799D9" w14:textId="77777777" w:rsidR="006F644F" w:rsidRDefault="006F644F"/>
    <w:sectPr w:rsidR="006F644F">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60F1" w14:textId="77777777" w:rsidR="009E151D" w:rsidRDefault="009E151D" w:rsidP="007F4CEC">
      <w:r>
        <w:separator/>
      </w:r>
    </w:p>
  </w:endnote>
  <w:endnote w:type="continuationSeparator" w:id="0">
    <w:p w14:paraId="168B4E82" w14:textId="77777777" w:rsidR="009E151D" w:rsidRDefault="009E151D" w:rsidP="007F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C1CA" w14:textId="1CD0DFB7" w:rsidR="007F4CEC" w:rsidRDefault="007F4CEC">
    <w:pPr>
      <w:pStyle w:val="Footer"/>
    </w:pPr>
    <w:r>
      <w:rPr>
        <w:noProof/>
      </w:rPr>
      <mc:AlternateContent>
        <mc:Choice Requires="wps">
          <w:drawing>
            <wp:anchor distT="0" distB="0" distL="0" distR="0" simplePos="0" relativeHeight="251659264" behindDoc="0" locked="0" layoutInCell="1" allowOverlap="1" wp14:anchorId="14231FF6" wp14:editId="1000B290">
              <wp:simplePos x="635" y="635"/>
              <wp:positionH relativeFrom="page">
                <wp:align>left</wp:align>
              </wp:positionH>
              <wp:positionV relativeFrom="page">
                <wp:align>bottom</wp:align>
              </wp:positionV>
              <wp:extent cx="1734820" cy="361315"/>
              <wp:effectExtent l="0" t="0" r="17780" b="0"/>
              <wp:wrapNone/>
              <wp:docPr id="1324775474"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4820" cy="361315"/>
                      </a:xfrm>
                      <a:prstGeom prst="rect">
                        <a:avLst/>
                      </a:prstGeom>
                      <a:noFill/>
                      <a:ln>
                        <a:noFill/>
                      </a:ln>
                    </wps:spPr>
                    <wps:txbx>
                      <w:txbxContent>
                        <w:p w14:paraId="762ECA46" w14:textId="7C12C4F4" w:rsidR="007F4CEC" w:rsidRPr="007F4CEC" w:rsidRDefault="007F4CEC" w:rsidP="007F4CEC">
                          <w:pPr>
                            <w:rPr>
                              <w:rFonts w:ascii="Calibri" w:eastAsia="Calibri" w:hAnsi="Calibri" w:cs="Calibri"/>
                              <w:noProof/>
                              <w:color w:val="000000"/>
                            </w:rPr>
                          </w:pPr>
                          <w:r w:rsidRPr="007F4CEC">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231FF6" id="_x0000_t202" coordsize="21600,21600" o:spt="202" path="m,l,21600r21600,l21600,xe">
              <v:stroke joinstyle="miter"/>
              <v:path gradientshapeok="t" o:connecttype="rect"/>
            </v:shapetype>
            <v:shape id="Text Box 2" o:spid="_x0000_s1026" type="#_x0000_t202" alt="Classification: Protected A" style="position:absolute;margin-left:0;margin-top:0;width:136.6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" filled="f" stroked="f">
              <v:fill o:detectmouseclick="t"/>
              <v:textbox style="mso-fit-shape-to-text:t" inset="20pt,0,0,15pt">
                <w:txbxContent>
                  <w:p w14:paraId="762ECA46" w14:textId="7C12C4F4" w:rsidR="007F4CEC" w:rsidRPr="007F4CEC" w:rsidRDefault="007F4CEC" w:rsidP="007F4CEC">
                    <w:pPr>
                      <w:rPr>
                        <w:rFonts w:ascii="Calibri" w:eastAsia="Calibri" w:hAnsi="Calibri" w:cs="Calibri"/>
                        <w:noProof/>
                        <w:color w:val="000000"/>
                      </w:rPr>
                    </w:pPr>
                    <w:r w:rsidRPr="007F4CEC">
                      <w:rPr>
                        <w:rFonts w:ascii="Calibri" w:eastAsia="Calibri" w:hAnsi="Calibri" w:cs="Calibri"/>
                        <w:noProof/>
                        <w:color w:val="000000"/>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DEB2" w14:textId="6D475044" w:rsidR="007F4CEC" w:rsidRDefault="007F4CEC">
    <w:pPr>
      <w:pStyle w:val="Footer"/>
    </w:pPr>
    <w:r>
      <w:rPr>
        <w:noProof/>
      </w:rPr>
      <mc:AlternateContent>
        <mc:Choice Requires="wps">
          <w:drawing>
            <wp:anchor distT="0" distB="0" distL="0" distR="0" simplePos="0" relativeHeight="251660288" behindDoc="0" locked="0" layoutInCell="1" allowOverlap="1" wp14:anchorId="63DF28B4" wp14:editId="5438435E">
              <wp:simplePos x="635" y="635"/>
              <wp:positionH relativeFrom="page">
                <wp:align>left</wp:align>
              </wp:positionH>
              <wp:positionV relativeFrom="page">
                <wp:align>bottom</wp:align>
              </wp:positionV>
              <wp:extent cx="1734820" cy="361315"/>
              <wp:effectExtent l="0" t="0" r="17780" b="0"/>
              <wp:wrapNone/>
              <wp:docPr id="879756679" name="Text Box 3"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4820" cy="361315"/>
                      </a:xfrm>
                      <a:prstGeom prst="rect">
                        <a:avLst/>
                      </a:prstGeom>
                      <a:noFill/>
                      <a:ln>
                        <a:noFill/>
                      </a:ln>
                    </wps:spPr>
                    <wps:txbx>
                      <w:txbxContent>
                        <w:p w14:paraId="6A2D8EA3" w14:textId="70C5FEEB" w:rsidR="007F4CEC" w:rsidRPr="007F4CEC" w:rsidRDefault="007F4CEC" w:rsidP="007F4CEC">
                          <w:pPr>
                            <w:rPr>
                              <w:rFonts w:ascii="Calibri" w:eastAsia="Calibri" w:hAnsi="Calibri" w:cs="Calibri"/>
                              <w:noProof/>
                              <w:color w:val="000000"/>
                            </w:rPr>
                          </w:pPr>
                          <w:r w:rsidRPr="007F4CEC">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DF28B4" id="_x0000_t202" coordsize="21600,21600" o:spt="202" path="m,l,21600r21600,l21600,xe">
              <v:stroke joinstyle="miter"/>
              <v:path gradientshapeok="t" o:connecttype="rect"/>
            </v:shapetype>
            <v:shape id="Text Box 3" o:spid="_x0000_s1027" type="#_x0000_t202" alt="Classification: Protected A" style="position:absolute;margin-left:0;margin-top:0;width:136.6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" filled="f" stroked="f">
              <v:fill o:detectmouseclick="t"/>
              <v:textbox style="mso-fit-shape-to-text:t" inset="20pt,0,0,15pt">
                <w:txbxContent>
                  <w:p w14:paraId="6A2D8EA3" w14:textId="70C5FEEB" w:rsidR="007F4CEC" w:rsidRPr="007F4CEC" w:rsidRDefault="007F4CEC" w:rsidP="007F4CEC">
                    <w:pPr>
                      <w:rPr>
                        <w:rFonts w:ascii="Calibri" w:eastAsia="Calibri" w:hAnsi="Calibri" w:cs="Calibri"/>
                        <w:noProof/>
                        <w:color w:val="000000"/>
                      </w:rPr>
                    </w:pPr>
                    <w:r w:rsidRPr="007F4CEC">
                      <w:rPr>
                        <w:rFonts w:ascii="Calibri" w:eastAsia="Calibri" w:hAnsi="Calibri" w:cs="Calibri"/>
                        <w:noProof/>
                        <w:color w:val="000000"/>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4B36" w14:textId="77551140" w:rsidR="007F4CEC" w:rsidRDefault="007F4CEC">
    <w:pPr>
      <w:pStyle w:val="Footer"/>
    </w:pPr>
    <w:r>
      <w:rPr>
        <w:noProof/>
      </w:rPr>
      <mc:AlternateContent>
        <mc:Choice Requires="wps">
          <w:drawing>
            <wp:anchor distT="0" distB="0" distL="0" distR="0" simplePos="0" relativeHeight="251658240" behindDoc="0" locked="0" layoutInCell="1" allowOverlap="1" wp14:anchorId="1583CD26" wp14:editId="6214FB43">
              <wp:simplePos x="635" y="635"/>
              <wp:positionH relativeFrom="page">
                <wp:align>left</wp:align>
              </wp:positionH>
              <wp:positionV relativeFrom="page">
                <wp:align>bottom</wp:align>
              </wp:positionV>
              <wp:extent cx="1734820" cy="361315"/>
              <wp:effectExtent l="0" t="0" r="17780" b="0"/>
              <wp:wrapNone/>
              <wp:docPr id="2086471699"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4820" cy="361315"/>
                      </a:xfrm>
                      <a:prstGeom prst="rect">
                        <a:avLst/>
                      </a:prstGeom>
                      <a:noFill/>
                      <a:ln>
                        <a:noFill/>
                      </a:ln>
                    </wps:spPr>
                    <wps:txbx>
                      <w:txbxContent>
                        <w:p w14:paraId="7BB1736D" w14:textId="61A60426" w:rsidR="007F4CEC" w:rsidRPr="007F4CEC" w:rsidRDefault="007F4CEC" w:rsidP="007F4CEC">
                          <w:pPr>
                            <w:rPr>
                              <w:rFonts w:ascii="Calibri" w:eastAsia="Calibri" w:hAnsi="Calibri" w:cs="Calibri"/>
                              <w:noProof/>
                              <w:color w:val="000000"/>
                            </w:rPr>
                          </w:pPr>
                          <w:r w:rsidRPr="007F4CEC">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83CD26" id="_x0000_t202" coordsize="21600,21600" o:spt="202" path="m,l,21600r21600,l21600,xe">
              <v:stroke joinstyle="miter"/>
              <v:path gradientshapeok="t" o:connecttype="rect"/>
            </v:shapetype>
            <v:shape id="Text Box 1" o:spid="_x0000_s1028" type="#_x0000_t202" alt="Classification: Protected A" style="position:absolute;margin-left:0;margin-top:0;width:136.6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" filled="f" stroked="f">
              <v:fill o:detectmouseclick="t"/>
              <v:textbox style="mso-fit-shape-to-text:t" inset="20pt,0,0,15pt">
                <w:txbxContent>
                  <w:p w14:paraId="7BB1736D" w14:textId="61A60426" w:rsidR="007F4CEC" w:rsidRPr="007F4CEC" w:rsidRDefault="007F4CEC" w:rsidP="007F4CEC">
                    <w:pPr>
                      <w:rPr>
                        <w:rFonts w:ascii="Calibri" w:eastAsia="Calibri" w:hAnsi="Calibri" w:cs="Calibri"/>
                        <w:noProof/>
                        <w:color w:val="000000"/>
                      </w:rPr>
                    </w:pPr>
                    <w:r w:rsidRPr="007F4CEC">
                      <w:rPr>
                        <w:rFonts w:ascii="Calibri" w:eastAsia="Calibri" w:hAnsi="Calibri" w:cs="Calibri"/>
                        <w:noProof/>
                        <w:color w:val="000000"/>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7089" w14:textId="77777777" w:rsidR="009E151D" w:rsidRDefault="009E151D" w:rsidP="007F4CEC">
      <w:r>
        <w:separator/>
      </w:r>
    </w:p>
  </w:footnote>
  <w:footnote w:type="continuationSeparator" w:id="0">
    <w:p w14:paraId="0280A9E5" w14:textId="77777777" w:rsidR="009E151D" w:rsidRDefault="009E151D" w:rsidP="007F4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349"/>
    <w:multiLevelType w:val="multilevel"/>
    <w:tmpl w:val="28605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5A22"/>
    <w:multiLevelType w:val="hybridMultilevel"/>
    <w:tmpl w:val="36BA02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0A4138A"/>
    <w:multiLevelType w:val="hybridMultilevel"/>
    <w:tmpl w:val="A342A5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A941121"/>
    <w:multiLevelType w:val="multilevel"/>
    <w:tmpl w:val="821E2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0568B"/>
    <w:multiLevelType w:val="multilevel"/>
    <w:tmpl w:val="9C30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F7AEC"/>
    <w:multiLevelType w:val="multilevel"/>
    <w:tmpl w:val="19EA8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E2103"/>
    <w:multiLevelType w:val="multilevel"/>
    <w:tmpl w:val="5FD62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20DD8"/>
    <w:multiLevelType w:val="multilevel"/>
    <w:tmpl w:val="9118A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73ADA"/>
    <w:multiLevelType w:val="multilevel"/>
    <w:tmpl w:val="EAC2C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A3FC0"/>
    <w:multiLevelType w:val="hybridMultilevel"/>
    <w:tmpl w:val="586CB990"/>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9A845FF"/>
    <w:multiLevelType w:val="multilevel"/>
    <w:tmpl w:val="2D2E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02844"/>
    <w:multiLevelType w:val="multilevel"/>
    <w:tmpl w:val="052A9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5552404">
    <w:abstractNumId w:val="11"/>
  </w:num>
  <w:num w:numId="2" w16cid:durableId="471866378">
    <w:abstractNumId w:val="4"/>
  </w:num>
  <w:num w:numId="3" w16cid:durableId="1801262580">
    <w:abstractNumId w:val="7"/>
  </w:num>
  <w:num w:numId="4" w16cid:durableId="1594704750">
    <w:abstractNumId w:val="8"/>
  </w:num>
  <w:num w:numId="5" w16cid:durableId="362025545">
    <w:abstractNumId w:val="5"/>
  </w:num>
  <w:num w:numId="6" w16cid:durableId="1999527682">
    <w:abstractNumId w:val="0"/>
  </w:num>
  <w:num w:numId="7" w16cid:durableId="378476743">
    <w:abstractNumId w:val="10"/>
  </w:num>
  <w:num w:numId="8" w16cid:durableId="1327247427">
    <w:abstractNumId w:val="3"/>
  </w:num>
  <w:num w:numId="9" w16cid:durableId="1654328588">
    <w:abstractNumId w:val="6"/>
  </w:num>
  <w:num w:numId="10" w16cid:durableId="10776341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1907860">
    <w:abstractNumId w:val="2"/>
  </w:num>
  <w:num w:numId="12" w16cid:durableId="117264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44"/>
    <w:rsid w:val="000146B5"/>
    <w:rsid w:val="00052E44"/>
    <w:rsid w:val="002B2ABF"/>
    <w:rsid w:val="003567C5"/>
    <w:rsid w:val="00362104"/>
    <w:rsid w:val="006F644F"/>
    <w:rsid w:val="007F4CEC"/>
    <w:rsid w:val="00804EFB"/>
    <w:rsid w:val="009E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927B"/>
  <w15:chartTrackingRefBased/>
  <w15:docId w15:val="{0B555853-813D-428A-ACAE-17DCF8EE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EC"/>
    <w:pPr>
      <w:spacing w:after="0" w:line="240" w:lineRule="auto"/>
    </w:pPr>
    <w:rPr>
      <w:rFonts w:ascii="Aptos" w:hAnsi="Aptos" w:cs="Aptos"/>
      <w:kern w:val="0"/>
      <w:lang w:val="en-CA"/>
    </w:rPr>
  </w:style>
  <w:style w:type="paragraph" w:styleId="Heading1">
    <w:name w:val="heading 1"/>
    <w:basedOn w:val="Normal"/>
    <w:next w:val="Normal"/>
    <w:link w:val="Heading1Char"/>
    <w:uiPriority w:val="9"/>
    <w:qFormat/>
    <w:rsid w:val="00052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E44"/>
    <w:rPr>
      <w:rFonts w:eastAsiaTheme="majorEastAsia" w:cstheme="majorBidi"/>
      <w:color w:val="272727" w:themeColor="text1" w:themeTint="D8"/>
    </w:rPr>
  </w:style>
  <w:style w:type="paragraph" w:styleId="Title">
    <w:name w:val="Title"/>
    <w:basedOn w:val="Normal"/>
    <w:next w:val="Normal"/>
    <w:link w:val="TitleChar"/>
    <w:uiPriority w:val="10"/>
    <w:qFormat/>
    <w:rsid w:val="00052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E44"/>
    <w:pPr>
      <w:spacing w:before="160"/>
      <w:jc w:val="center"/>
    </w:pPr>
    <w:rPr>
      <w:i/>
      <w:iCs/>
      <w:color w:val="404040" w:themeColor="text1" w:themeTint="BF"/>
    </w:rPr>
  </w:style>
  <w:style w:type="character" w:customStyle="1" w:styleId="QuoteChar">
    <w:name w:val="Quote Char"/>
    <w:basedOn w:val="DefaultParagraphFont"/>
    <w:link w:val="Quote"/>
    <w:uiPriority w:val="29"/>
    <w:rsid w:val="00052E44"/>
    <w:rPr>
      <w:i/>
      <w:iCs/>
      <w:color w:val="404040" w:themeColor="text1" w:themeTint="BF"/>
    </w:rPr>
  </w:style>
  <w:style w:type="paragraph" w:styleId="ListParagraph">
    <w:name w:val="List Paragraph"/>
    <w:basedOn w:val="Normal"/>
    <w:uiPriority w:val="34"/>
    <w:qFormat/>
    <w:rsid w:val="00052E44"/>
    <w:pPr>
      <w:ind w:left="720"/>
      <w:contextualSpacing/>
    </w:pPr>
  </w:style>
  <w:style w:type="character" w:styleId="IntenseEmphasis">
    <w:name w:val="Intense Emphasis"/>
    <w:basedOn w:val="DefaultParagraphFont"/>
    <w:uiPriority w:val="21"/>
    <w:qFormat/>
    <w:rsid w:val="00052E44"/>
    <w:rPr>
      <w:i/>
      <w:iCs/>
      <w:color w:val="0F4761" w:themeColor="accent1" w:themeShade="BF"/>
    </w:rPr>
  </w:style>
  <w:style w:type="paragraph" w:styleId="IntenseQuote">
    <w:name w:val="Intense Quote"/>
    <w:basedOn w:val="Normal"/>
    <w:next w:val="Normal"/>
    <w:link w:val="IntenseQuoteChar"/>
    <w:uiPriority w:val="30"/>
    <w:qFormat/>
    <w:rsid w:val="00052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E44"/>
    <w:rPr>
      <w:i/>
      <w:iCs/>
      <w:color w:val="0F4761" w:themeColor="accent1" w:themeShade="BF"/>
    </w:rPr>
  </w:style>
  <w:style w:type="character" w:styleId="IntenseReference">
    <w:name w:val="Intense Reference"/>
    <w:basedOn w:val="DefaultParagraphFont"/>
    <w:uiPriority w:val="32"/>
    <w:qFormat/>
    <w:rsid w:val="00052E44"/>
    <w:rPr>
      <w:b/>
      <w:bCs/>
      <w:smallCaps/>
      <w:color w:val="0F4761" w:themeColor="accent1" w:themeShade="BF"/>
      <w:spacing w:val="5"/>
    </w:rPr>
  </w:style>
  <w:style w:type="paragraph" w:styleId="Footer">
    <w:name w:val="footer"/>
    <w:basedOn w:val="Normal"/>
    <w:link w:val="FooterChar"/>
    <w:uiPriority w:val="99"/>
    <w:unhideWhenUsed/>
    <w:rsid w:val="007F4CEC"/>
    <w:pPr>
      <w:tabs>
        <w:tab w:val="center" w:pos="4680"/>
        <w:tab w:val="right" w:pos="9360"/>
      </w:tabs>
    </w:pPr>
  </w:style>
  <w:style w:type="character" w:customStyle="1" w:styleId="FooterChar">
    <w:name w:val="Footer Char"/>
    <w:basedOn w:val="DefaultParagraphFont"/>
    <w:link w:val="Footer"/>
    <w:uiPriority w:val="99"/>
    <w:rsid w:val="007F4CEC"/>
    <w:rPr>
      <w:rFonts w:ascii="Aptos" w:hAnsi="Aptos" w:cs="Aptos"/>
      <w:kern w:val="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Wachholz</dc:creator>
  <cp:keywords/>
  <dc:description/>
  <cp:lastModifiedBy>Michelle Elliott</cp:lastModifiedBy>
  <cp:revision>2</cp:revision>
  <dcterms:created xsi:type="dcterms:W3CDTF">2026-01-30T19:59:00Z</dcterms:created>
  <dcterms:modified xsi:type="dcterms:W3CDTF">2026-01-30T19:59:00Z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7c5d0813,4ef67832,34700587</vt:lpwstr>
  </property>
  <property fmtid="{D5CDD505-2E9C-101B-9397-08002B2CF9AE}" pid="3" name="ClassificationContentMarkingFooterFontProps">
    <vt:lpwstr>#000000,11,Calibri</vt:lpwstr>
  </property>
  <property fmtid="{D5CDD505-2E9C-101B-9397-08002B2CF9AE}" pid="4" name="ClassificationContentMarkingFooterText">
    <vt:lpwstr>Classification: Protected A</vt:lpwstr>
  </property>
  <property fmtid="{D5CDD505-2E9C-101B-9397-08002B2CF9AE}" pid="5" name="MSIP_Label_abf2ea38-542c-4b75-bd7d-582ec36a519f_Enabled">
    <vt:lpwstr>true</vt:lpwstr>
  </property>
  <property fmtid="{D5CDD505-2E9C-101B-9397-08002B2CF9AE}" pid="6" name="MSIP_Label_abf2ea38-542c-4b75-bd7d-582ec36a519f_SetDate">
    <vt:lpwstr>2026-01-21T23:09:56Z</vt:lpwstr>
  </property>
  <property fmtid="{D5CDD505-2E9C-101B-9397-08002B2CF9AE}" pid="7" name="MSIP_Label_abf2ea38-542c-4b75-bd7d-582ec36a519f_Method">
    <vt:lpwstr>Standard</vt:lpwstr>
  </property>
  <property fmtid="{D5CDD505-2E9C-101B-9397-08002B2CF9AE}" pid="8" name="MSIP_Label_abf2ea38-542c-4b75-bd7d-582ec36a519f_Name">
    <vt:lpwstr>Protected A</vt:lpwstr>
  </property>
  <property fmtid="{D5CDD505-2E9C-101B-9397-08002B2CF9AE}" pid="9" name="MSIP_Label_abf2ea38-542c-4b75-bd7d-582ec36a519f_SiteId">
    <vt:lpwstr>2bb51c06-af9b-42c5-8bf5-3c3b7b10850b</vt:lpwstr>
  </property>
  <property fmtid="{D5CDD505-2E9C-101B-9397-08002B2CF9AE}" pid="10" name="MSIP_Label_abf2ea38-542c-4b75-bd7d-582ec36a519f_ActionId">
    <vt:lpwstr>d03bfdad-f8c9-407f-be1a-e6c5edb7bf88</vt:lpwstr>
  </property>
  <property fmtid="{D5CDD505-2E9C-101B-9397-08002B2CF9AE}" pid="11" name="MSIP_Label_abf2ea38-542c-4b75-bd7d-582ec36a519f_ContentBits">
    <vt:lpwstr>2</vt:lpwstr>
  </property>
  <property fmtid="{D5CDD505-2E9C-101B-9397-08002B2CF9AE}" pid="12" name="MSIP_Label_abf2ea38-542c-4b75-bd7d-582ec36a519f_Tag">
    <vt:lpwstr>10, 3, 0, 1</vt:lpwstr>
  </property>
</Properties>
</file>